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rPr>
          <w:rFonts w:hint="eastAsia"/>
          <w:b/>
          <w:sz w:val="24"/>
        </w:rPr>
        <w:t>R4-2</w:t>
      </w:r>
      <w:r>
        <w:rPr>
          <w:rFonts w:hint="eastAsia" w:eastAsia="宋体"/>
          <w:b/>
          <w:sz w:val="24"/>
          <w:lang w:val="en-US" w:eastAsia="zh-CN"/>
        </w:rPr>
        <w:t>402236</w:t>
      </w:r>
    </w:p>
    <w:p>
      <w:pPr>
        <w:pStyle w:val="73"/>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Feb</w:t>
      </w:r>
      <w:r>
        <w:rPr>
          <w:rFonts w:hint="eastAsia" w:ascii="Arial" w:hAnsi="Arial" w:eastAsia="宋体" w:cs="Arial"/>
          <w:b/>
          <w:sz w:val="24"/>
          <w:szCs w:val="24"/>
          <w:lang w:eastAsia="zh-CN"/>
        </w:rPr>
        <w:t>–</w:t>
      </w:r>
      <w:r>
        <w:rPr>
          <w:rFonts w:hint="eastAsia" w:cs="Arial"/>
          <w:b/>
          <w:sz w:val="24"/>
          <w:szCs w:val="24"/>
          <w:lang w:val="en-US" w:eastAsia="zh-CN"/>
        </w:rPr>
        <w:t>1st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 xml:space="preserve">the co-existence for existing mobile networks </w:t>
      </w:r>
    </w:p>
    <w:p>
      <w:pPr>
        <w:keepNext/>
        <w:keepLines/>
        <w:pageBreakBefore w:val="0"/>
        <w:widowControl/>
        <w:tabs>
          <w:tab w:val="left" w:pos="1985"/>
        </w:tabs>
        <w:kinsoku/>
        <w:wordWrap/>
        <w:overflowPunct/>
        <w:topLinePunct w:val="0"/>
        <w:autoSpaceDE/>
        <w:autoSpaceDN/>
        <w:bidi w:val="0"/>
        <w:adjustRightInd/>
        <w:snapToGrid/>
        <w:spacing w:before="120" w:after="120" w:line="260" w:lineRule="auto"/>
        <w:ind w:firstLine="1984" w:firstLineChars="0"/>
        <w:textAlignment w:val="auto"/>
        <w:outlineLvl w:val="0"/>
        <w:rPr>
          <w:rStyle w:val="60"/>
          <w:rFonts w:hint="default"/>
          <w:b/>
          <w:highlight w:val="none"/>
          <w:lang w:val="en-US" w:eastAsia="zh-CN"/>
        </w:rPr>
      </w:pPr>
      <w:r>
        <w:rPr>
          <w:rStyle w:val="60"/>
          <w:rFonts w:hint="eastAsia"/>
          <w:b/>
          <w:highlight w:val="none"/>
          <w:lang w:val="en-US" w:eastAsia="zh-CN"/>
        </w:rPr>
        <w:t>caused by band n101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13.2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 RAN #102 meeting, it was raised that there is harm to existing mobile networks caused by band n101 [1], which is converse to the objective of the introduction of Rail Mobile Radio (RMR) spectrum (as TDD) in 1900 MHz [2]. And RAN tasks RAN4 to have some discussion to clarify whether it can be solved as following way forward.</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8"/>
              </w:numPr>
              <w:overflowPunct w:val="0"/>
              <w:autoSpaceDE w:val="0"/>
              <w:autoSpaceDN w:val="0"/>
              <w:adjustRightInd w:val="0"/>
              <w:spacing w:before="120" w:after="240"/>
              <w:ind w:left="420" w:leftChars="0" w:hanging="420" w:firstLineChars="0"/>
              <w:textAlignment w:val="baseline"/>
              <w:rPr>
                <w:rFonts w:hint="eastAsia"/>
                <w:sz w:val="20"/>
                <w:szCs w:val="20"/>
              </w:rPr>
            </w:pPr>
            <w:r>
              <w:rPr>
                <w:rFonts w:hint="eastAsia"/>
                <w:sz w:val="20"/>
                <w:szCs w:val="20"/>
              </w:rPr>
              <w:t>RAN tasks RAN4 to investigate what possibilities exist in the RAN4 specifications for n101 to avoid causing interference on already established networks, which corresponds to the objectives of WID NR_RAIL_EU_1900MHz_TDD, and report to RAN#103.</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240" w:line="260" w:lineRule="auto"/>
              <w:ind w:left="840" w:leftChars="200" w:hanging="420" w:firstLineChars="0"/>
              <w:textAlignment w:val="baseline"/>
              <w:rPr>
                <w:rFonts w:hint="default" w:eastAsia="宋体"/>
                <w:i w:val="0"/>
                <w:iCs w:val="0"/>
                <w:sz w:val="20"/>
                <w:szCs w:val="20"/>
                <w:vertAlign w:val="baseline"/>
                <w:lang w:val="en-US" w:eastAsia="zh-CN"/>
              </w:rPr>
            </w:pPr>
            <w:r>
              <w:rPr>
                <w:rFonts w:hint="eastAsia"/>
                <w:sz w:val="20"/>
                <w:szCs w:val="20"/>
              </w:rPr>
              <w:t>Taking the applicable regulations of CEPT countries into account.</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w:t>
      </w:r>
      <w:r>
        <w:rPr>
          <w:rFonts w:hint="default"/>
          <w:i w:val="0"/>
          <w:iCs w:val="0"/>
          <w:sz w:val="20"/>
          <w:szCs w:val="20"/>
          <w:lang w:val="en-US" w:eastAsia="zh-CN"/>
        </w:rPr>
        <w:t>n this contribution, we want to share some views on the co-existence for existing mobile networks caused by band n101</w:t>
      </w:r>
      <w:r>
        <w:rPr>
          <w:rFonts w:hint="eastAsia"/>
          <w:i w:val="0"/>
          <w:iCs w:val="0"/>
          <w:sz w:val="20"/>
          <w:szCs w:val="20"/>
          <w:lang w:val="en-US" w:eastAsia="zh-CN"/>
        </w:rPr>
        <w:t>.</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eastAsia" w:eastAsia="宋体"/>
          <w:lang w:val="en-US" w:eastAsia="zh-CN"/>
        </w:rPr>
      </w:pPr>
      <w:bookmarkStart w:id="2" w:name="OLE_LINK50"/>
      <w:bookmarkStart w:id="3" w:name="OLE_LINK66"/>
      <w:bookmarkStart w:id="4" w:name="OLE_LINK23"/>
      <w:r>
        <w:rPr>
          <w:rFonts w:hint="eastAsia" w:eastAsia="宋体"/>
          <w:lang w:val="en-US" w:eastAsia="zh-CN"/>
        </w:rPr>
        <w:drawing>
          <wp:inline distT="0" distB="0" distL="114300" distR="114300">
            <wp:extent cx="5166360" cy="830580"/>
            <wp:effectExtent l="0" t="0" r="0" b="0"/>
            <wp:docPr id="3" name="图片 3" descr="n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101"/>
                    <pic:cNvPicPr>
                      <a:picLocks noChangeAspect="1"/>
                    </pic:cNvPicPr>
                  </pic:nvPicPr>
                  <pic:blipFill>
                    <a:blip r:embed="rId12"/>
                    <a:stretch>
                      <a:fillRect/>
                    </a:stretch>
                  </pic:blipFill>
                  <pic:spPr>
                    <a:xfrm>
                      <a:off x="0" y="0"/>
                      <a:ext cx="5166360" cy="830580"/>
                    </a:xfrm>
                    <a:prstGeom prst="rect">
                      <a:avLst/>
                    </a:prstGeom>
                  </pic:spPr>
                </pic:pic>
              </a:graphicData>
            </a:graphic>
          </wp:inline>
        </w:drawing>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eastAsia"/>
          <w:sz w:val="20"/>
          <w:szCs w:val="20"/>
          <w:lang w:val="en-US" w:eastAsia="zh-CN"/>
        </w:rPr>
      </w:pPr>
      <w:r>
        <w:rPr>
          <w:rFonts w:hint="eastAsia"/>
          <w:sz w:val="20"/>
          <w:szCs w:val="20"/>
          <w:lang w:val="en-US" w:eastAsia="zh-CN"/>
        </w:rPr>
        <w:t>Figure 1: the adjacent bands around RMR 1900MHz (band n101)</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cs="Times New Roman"/>
          <w:i w:val="0"/>
          <w:iCs w:val="0"/>
          <w:sz w:val="20"/>
          <w:szCs w:val="20"/>
          <w:lang w:val="en-US" w:eastAsia="zh-CN"/>
        </w:rPr>
      </w:pPr>
      <w:r>
        <w:rPr>
          <w:rFonts w:hint="eastAsia"/>
          <w:i w:val="0"/>
          <w:iCs w:val="0"/>
          <w:sz w:val="20"/>
          <w:szCs w:val="20"/>
          <w:lang w:val="en-US" w:eastAsia="zh-CN"/>
        </w:rPr>
        <w:t>As stated in [1], RMR band n101 is very close to the uplink of band B1/n1, and the frequency distance is only 10 MHz, which means blocking caused by RMR band n101 has significant impact to the uplink reception of band B1/n1. In order to describe the interfering level from FRMCS BS transmissions</w:t>
      </w:r>
      <w:r>
        <w:rPr>
          <w:rFonts w:hint="eastAsia" w:cs="Times New Roman"/>
          <w:i w:val="0"/>
          <w:iCs w:val="0"/>
          <w:sz w:val="20"/>
          <w:szCs w:val="20"/>
          <w:lang w:val="en-US" w:eastAsia="zh-CN"/>
        </w:rPr>
        <w:t xml:space="preserve"> </w:t>
      </w:r>
      <w:r>
        <w:rPr>
          <w:rFonts w:hint="eastAsia"/>
          <w:i w:val="0"/>
          <w:iCs w:val="0"/>
          <w:sz w:val="20"/>
          <w:szCs w:val="20"/>
          <w:lang w:val="en-US" w:eastAsia="zh-CN"/>
        </w:rPr>
        <w:t>in 1900-1910 MHz, we use the following equation to calculate the received sig</w:t>
      </w:r>
      <w:r>
        <w:rPr>
          <w:rFonts w:hint="eastAsia" w:ascii="Times New Roman" w:hAnsi="Times New Roman" w:cs="Times New Roman"/>
          <w:i w:val="0"/>
          <w:iCs w:val="0"/>
          <w:sz w:val="20"/>
          <w:szCs w:val="20"/>
          <w:lang w:val="en-US" w:eastAsia="zh-CN"/>
        </w:rPr>
        <w:t>nal power in 1920-1930 MHz of band B1/n1.</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RX_PWR = TX_PWR – Path loss + G_TX + G_RX</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where:</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w:t>
      </w:r>
      <w:r>
        <w:rPr>
          <w:rFonts w:hint="eastAsia" w:ascii="Times New Roman" w:hAnsi="Times New Roman" w:cs="Times New Roman"/>
          <w:i w:val="0"/>
          <w:iCs w:val="0"/>
          <w:sz w:val="20"/>
          <w:szCs w:val="20"/>
          <w:lang w:val="en-US" w:eastAsia="ja-JP"/>
        </w:rPr>
        <w:tab/>
      </w:r>
      <w:r>
        <w:rPr>
          <w:rFonts w:hint="eastAsia" w:ascii="Times New Roman" w:hAnsi="Times New Roman" w:cs="Times New Roman"/>
          <w:i w:val="0"/>
          <w:iCs w:val="0"/>
          <w:sz w:val="20"/>
          <w:szCs w:val="20"/>
          <w:lang w:val="en-US" w:eastAsia="ja-JP"/>
        </w:rPr>
        <w:t>RX_PWR is the received power</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w:t>
      </w:r>
      <w:r>
        <w:rPr>
          <w:rFonts w:hint="eastAsia" w:ascii="Times New Roman" w:hAnsi="Times New Roman" w:cs="Times New Roman"/>
          <w:i w:val="0"/>
          <w:iCs w:val="0"/>
          <w:sz w:val="20"/>
          <w:szCs w:val="20"/>
          <w:lang w:val="en-US" w:eastAsia="ja-JP"/>
        </w:rPr>
        <w:tab/>
      </w:r>
      <w:r>
        <w:rPr>
          <w:rFonts w:hint="eastAsia" w:ascii="Times New Roman" w:hAnsi="Times New Roman" w:cs="Times New Roman"/>
          <w:i w:val="0"/>
          <w:iCs w:val="0"/>
          <w:sz w:val="20"/>
          <w:szCs w:val="20"/>
          <w:lang w:val="en-US" w:eastAsia="ja-JP"/>
        </w:rPr>
        <w:t>TX_PWR is the transmitted power</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w:t>
      </w:r>
      <w:r>
        <w:rPr>
          <w:rFonts w:hint="eastAsia" w:ascii="Times New Roman" w:hAnsi="Times New Roman" w:cs="Times New Roman"/>
          <w:i w:val="0"/>
          <w:iCs w:val="0"/>
          <w:sz w:val="20"/>
          <w:szCs w:val="20"/>
          <w:lang w:val="en-US" w:eastAsia="ja-JP"/>
        </w:rPr>
        <w:tab/>
      </w:r>
      <w:r>
        <w:rPr>
          <w:rFonts w:hint="eastAsia" w:ascii="Times New Roman" w:hAnsi="Times New Roman" w:cs="Times New Roman"/>
          <w:i w:val="0"/>
          <w:iCs w:val="0"/>
          <w:sz w:val="20"/>
          <w:szCs w:val="20"/>
          <w:lang w:val="en-US" w:eastAsia="ja-JP"/>
        </w:rPr>
        <w:t>G_TX is the transmitter antenna gain (directional array gain)</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ascii="Times New Roman" w:hAnsi="Times New Roman" w:eastAsia="宋体" w:cs="Times New Roman"/>
          <w:i w:val="0"/>
          <w:iCs w:val="0"/>
          <w:sz w:val="20"/>
          <w:szCs w:val="20"/>
          <w:lang w:val="en-US" w:eastAsia="zh-CN"/>
        </w:rPr>
      </w:pPr>
      <w:r>
        <w:rPr>
          <w:rFonts w:hint="eastAsia" w:ascii="Times New Roman" w:hAnsi="Times New Roman" w:cs="Times New Roman"/>
          <w:i w:val="0"/>
          <w:iCs w:val="0"/>
          <w:sz w:val="20"/>
          <w:szCs w:val="20"/>
          <w:lang w:val="en-US" w:eastAsia="ja-JP"/>
        </w:rPr>
        <w:t>-</w:t>
      </w:r>
      <w:r>
        <w:rPr>
          <w:rFonts w:hint="eastAsia" w:ascii="Times New Roman" w:hAnsi="Times New Roman" w:cs="Times New Roman"/>
          <w:i w:val="0"/>
          <w:iCs w:val="0"/>
          <w:sz w:val="20"/>
          <w:szCs w:val="20"/>
          <w:lang w:val="en-US" w:eastAsia="ja-JP"/>
        </w:rPr>
        <w:tab/>
      </w:r>
      <w:r>
        <w:rPr>
          <w:rFonts w:hint="eastAsia" w:ascii="Times New Roman" w:hAnsi="Times New Roman" w:cs="Times New Roman"/>
          <w:i w:val="0"/>
          <w:iCs w:val="0"/>
          <w:sz w:val="20"/>
          <w:szCs w:val="20"/>
          <w:lang w:val="en-US" w:eastAsia="ja-JP"/>
        </w:rPr>
        <w:t>G_RX is the receiver antenna gain (directional array gain)</w:t>
      </w:r>
      <w:r>
        <w:rPr>
          <w:rFonts w:hint="eastAsia" w:cs="Times New Roman"/>
          <w:i w:val="0"/>
          <w:iCs w:val="0"/>
          <w:sz w:val="20"/>
          <w:szCs w:val="20"/>
          <w:lang w:val="en-US" w:eastAsia="zh-CN"/>
        </w:rPr>
        <w:t>.</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sz w:val="20"/>
          <w:szCs w:val="20"/>
          <w:lang w:val="en-US" w:eastAsia="zh-CN"/>
        </w:rPr>
      </w:pPr>
      <w:r>
        <w:rPr>
          <w:rFonts w:hint="eastAsia"/>
          <w:i w:val="0"/>
          <w:iCs w:val="0"/>
          <w:sz w:val="20"/>
          <w:szCs w:val="20"/>
          <w:lang w:val="en-US" w:eastAsia="zh-CN"/>
        </w:rPr>
        <w:t xml:space="preserve">Considering the situation with the most severe interference, the sum of </w:t>
      </w:r>
      <w:r>
        <w:rPr>
          <w:rFonts w:hint="eastAsia" w:ascii="Times New Roman" w:hAnsi="Times New Roman" w:cs="Times New Roman"/>
          <w:i w:val="0"/>
          <w:iCs w:val="0"/>
          <w:sz w:val="20"/>
          <w:szCs w:val="20"/>
          <w:lang w:val="en-US" w:eastAsia="ja-JP"/>
        </w:rPr>
        <w:t>the transmitted power</w:t>
      </w:r>
      <w:r>
        <w:rPr>
          <w:rFonts w:hint="eastAsia" w:ascii="Times New Roman" w:hAnsi="Times New Roman" w:cs="Times New Roman"/>
          <w:i w:val="0"/>
          <w:iCs w:val="0"/>
          <w:sz w:val="20"/>
          <w:szCs w:val="20"/>
          <w:lang w:val="en-US" w:eastAsia="zh-CN"/>
        </w:rPr>
        <w:t xml:space="preserve"> and </w:t>
      </w:r>
      <w:r>
        <w:rPr>
          <w:rFonts w:hint="eastAsia" w:ascii="Times New Roman" w:hAnsi="Times New Roman" w:cs="Times New Roman"/>
          <w:i w:val="0"/>
          <w:iCs w:val="0"/>
          <w:sz w:val="20"/>
          <w:szCs w:val="20"/>
          <w:lang w:val="en-US" w:eastAsia="ja-JP"/>
        </w:rPr>
        <w:t>the transmitter antenna gain</w:t>
      </w:r>
      <w:r>
        <w:rPr>
          <w:rFonts w:hint="eastAsia" w:ascii="Times New Roman" w:hAnsi="Times New Roman" w:cs="Times New Roman"/>
          <w:i w:val="0"/>
          <w:iCs w:val="0"/>
          <w:sz w:val="20"/>
          <w:szCs w:val="20"/>
          <w:lang w:val="en-US" w:eastAsia="zh-CN"/>
        </w:rPr>
        <w:t xml:space="preserve"> can be regarded as </w:t>
      </w:r>
      <w:r>
        <w:rPr>
          <w:rFonts w:hint="eastAsia"/>
          <w:sz w:val="20"/>
          <w:szCs w:val="20"/>
          <w:lang w:val="en-US" w:eastAsia="zh-CN"/>
        </w:rPr>
        <w:t>the m</w:t>
      </w:r>
      <w:r>
        <w:rPr>
          <w:sz w:val="20"/>
          <w:szCs w:val="20"/>
        </w:rPr>
        <w:t>aximum EIRP</w:t>
      </w:r>
      <w:r>
        <w:rPr>
          <w:rFonts w:hint="eastAsia"/>
          <w:sz w:val="20"/>
          <w:szCs w:val="20"/>
          <w:lang w:val="en-US" w:eastAsia="zh-CN"/>
        </w:rPr>
        <w:t xml:space="preserve"> of FRMCS BS, which is defined as 65 dBm/10 MHz. So simplify the above equation to</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eastAsia" w:ascii="Times New Roman" w:hAnsi="Times New Roman" w:cs="Times New Roman"/>
          <w:i w:val="0"/>
          <w:iCs w:val="0"/>
          <w:sz w:val="20"/>
          <w:szCs w:val="20"/>
          <w:lang w:val="en-US" w:eastAsia="ja-JP"/>
        </w:rPr>
      </w:pPr>
      <w:r>
        <w:rPr>
          <w:rFonts w:hint="eastAsia" w:ascii="Times New Roman" w:hAnsi="Times New Roman" w:cs="Times New Roman"/>
          <w:i w:val="0"/>
          <w:iCs w:val="0"/>
          <w:sz w:val="20"/>
          <w:szCs w:val="20"/>
          <w:lang w:val="en-US" w:eastAsia="ja-JP"/>
        </w:rPr>
        <w:t xml:space="preserve">RX_PWR = </w:t>
      </w:r>
      <w:r>
        <w:rPr>
          <w:rFonts w:hint="eastAsia" w:ascii="Times New Roman" w:hAnsi="Times New Roman" w:cs="Times New Roman"/>
          <w:i w:val="0"/>
          <w:iCs w:val="0"/>
          <w:sz w:val="20"/>
          <w:szCs w:val="20"/>
          <w:lang w:val="en-US" w:eastAsia="zh-CN"/>
        </w:rPr>
        <w:t>65</w:t>
      </w:r>
      <w:r>
        <w:rPr>
          <w:rFonts w:hint="eastAsia" w:ascii="Times New Roman" w:hAnsi="Times New Roman" w:cs="Times New Roman"/>
          <w:i w:val="0"/>
          <w:iCs w:val="0"/>
          <w:sz w:val="20"/>
          <w:szCs w:val="20"/>
          <w:lang w:val="en-US" w:eastAsia="ja-JP"/>
        </w:rPr>
        <w:t xml:space="preserve"> </w:t>
      </w:r>
      <w:r>
        <w:rPr>
          <w:rFonts w:hint="eastAsia"/>
          <w:sz w:val="20"/>
          <w:szCs w:val="20"/>
          <w:lang w:val="en-US" w:eastAsia="zh-CN"/>
        </w:rPr>
        <w:t>dBm</w:t>
      </w:r>
      <w:r>
        <w:rPr>
          <w:rFonts w:hint="eastAsia" w:ascii="Times New Roman" w:hAnsi="Times New Roman" w:cs="Times New Roman"/>
          <w:i w:val="0"/>
          <w:iCs w:val="0"/>
          <w:sz w:val="20"/>
          <w:szCs w:val="20"/>
          <w:lang w:val="en-US" w:eastAsia="ja-JP"/>
        </w:rPr>
        <w:t>– Path loss + G_RX</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both"/>
        <w:textAlignment w:val="baseline"/>
        <w:rPr>
          <w:rFonts w:hint="default" w:cs="Times New Roman"/>
          <w:i w:val="0"/>
          <w:iCs w:val="0"/>
          <w:sz w:val="20"/>
          <w:szCs w:val="20"/>
          <w:lang w:val="en-US" w:eastAsia="zh-CN"/>
        </w:rPr>
      </w:pPr>
      <w:r>
        <w:rPr>
          <w:rFonts w:hint="eastAsia" w:cs="Times New Roman"/>
          <w:i w:val="0"/>
          <w:iCs w:val="0"/>
          <w:sz w:val="20"/>
          <w:szCs w:val="20"/>
          <w:lang w:val="en-US" w:eastAsia="zh-CN"/>
        </w:rPr>
        <w:t xml:space="preserve">According to the above equation, we can describe how the received signal power </w:t>
      </w:r>
      <w:r>
        <w:rPr>
          <w:rFonts w:hint="eastAsia" w:ascii="Times New Roman" w:hAnsi="Times New Roman" w:cs="Times New Roman"/>
          <w:i w:val="0"/>
          <w:iCs w:val="0"/>
          <w:sz w:val="20"/>
          <w:szCs w:val="20"/>
          <w:lang w:val="en-US" w:eastAsia="zh-CN"/>
        </w:rPr>
        <w:t>in 1920-1930 MHz of band B1/n1</w:t>
      </w:r>
      <w:r>
        <w:rPr>
          <w:rFonts w:hint="eastAsia" w:cs="Times New Roman"/>
          <w:i w:val="0"/>
          <w:iCs w:val="0"/>
          <w:sz w:val="20"/>
          <w:szCs w:val="20"/>
          <w:lang w:val="en-US" w:eastAsia="zh-CN"/>
        </w:rPr>
        <w:t xml:space="preserve"> changes with the increase of BS-BS separation distance. </w:t>
      </w:r>
      <w:r>
        <w:rPr>
          <w:rFonts w:hint="eastAsia" w:ascii="Times New Roman" w:hAnsi="Times New Roman" w:cs="Times New Roman"/>
          <w:i w:val="0"/>
          <w:iCs w:val="0"/>
          <w:sz w:val="20"/>
          <w:szCs w:val="20"/>
          <w:lang w:val="en-US" w:eastAsia="zh-CN"/>
        </w:rPr>
        <w:t>Take RMa and UMa path loss model</w:t>
      </w:r>
      <w:r>
        <w:rPr>
          <w:rFonts w:hint="eastAsia" w:cs="Times New Roman"/>
          <w:i w:val="0"/>
          <w:iCs w:val="0"/>
          <w:sz w:val="20"/>
          <w:szCs w:val="20"/>
          <w:lang w:val="en-US" w:eastAsia="zh-CN"/>
        </w:rPr>
        <w:t>s</w:t>
      </w:r>
      <w:r>
        <w:rPr>
          <w:rFonts w:hint="eastAsia" w:ascii="Times New Roman" w:hAnsi="Times New Roman" w:cs="Times New Roman"/>
          <w:i w:val="0"/>
          <w:iCs w:val="0"/>
          <w:sz w:val="20"/>
          <w:szCs w:val="20"/>
          <w:lang w:val="en-US" w:eastAsia="zh-CN"/>
        </w:rPr>
        <w:t xml:space="preserve"> as examples, the </w:t>
      </w:r>
      <w:r>
        <w:rPr>
          <w:rFonts w:hint="eastAsia" w:cs="Times New Roman"/>
          <w:i w:val="0"/>
          <w:iCs w:val="0"/>
          <w:sz w:val="20"/>
          <w:szCs w:val="20"/>
          <w:lang w:val="en-US" w:eastAsia="zh-CN"/>
        </w:rPr>
        <w:t>receiv</w:t>
      </w:r>
      <w:r>
        <w:rPr>
          <w:rFonts w:hint="eastAsia" w:ascii="Times New Roman" w:hAnsi="Times New Roman" w:cs="Times New Roman"/>
          <w:i w:val="0"/>
          <w:iCs w:val="0"/>
          <w:sz w:val="20"/>
          <w:szCs w:val="20"/>
          <w:lang w:val="en-US" w:eastAsia="zh-CN"/>
        </w:rPr>
        <w:t>er antenna gain</w:t>
      </w:r>
      <w:r>
        <w:rPr>
          <w:rFonts w:hint="eastAsia" w:cs="Times New Roman"/>
          <w:i w:val="0"/>
          <w:iCs w:val="0"/>
          <w:sz w:val="20"/>
          <w:szCs w:val="20"/>
          <w:lang w:val="en-US" w:eastAsia="zh-CN"/>
        </w:rPr>
        <w:t xml:space="preserve">s are 17 dB and 16 dB respectively. The following figure shows the received signal power </w:t>
      </w:r>
      <w:r>
        <w:rPr>
          <w:rFonts w:hint="eastAsia" w:ascii="Times New Roman" w:hAnsi="Times New Roman" w:cs="Times New Roman"/>
          <w:i w:val="0"/>
          <w:iCs w:val="0"/>
          <w:sz w:val="20"/>
          <w:szCs w:val="20"/>
          <w:lang w:val="en-US" w:eastAsia="zh-CN"/>
        </w:rPr>
        <w:t>in 1920-1930 MHz of band B1/n1</w:t>
      </w:r>
      <w:r>
        <w:rPr>
          <w:rFonts w:hint="eastAsia" w:cs="Times New Roman"/>
          <w:i w:val="0"/>
          <w:iCs w:val="0"/>
          <w:sz w:val="20"/>
          <w:szCs w:val="20"/>
          <w:lang w:val="en-US" w:eastAsia="zh-CN"/>
        </w:rPr>
        <w:t>. I</w:t>
      </w:r>
      <w:r>
        <w:rPr>
          <w:rFonts w:hint="eastAsia" w:ascii="Times New Roman" w:hAnsi="Times New Roman" w:cs="Times New Roman"/>
          <w:i w:val="0"/>
          <w:iCs w:val="0"/>
          <w:sz w:val="20"/>
          <w:szCs w:val="20"/>
          <w:lang w:val="en-US" w:eastAsia="zh-CN"/>
        </w:rPr>
        <w:t xml:space="preserve">t can be seen that </w:t>
      </w:r>
      <w:r>
        <w:rPr>
          <w:rFonts w:hint="eastAsia" w:cs="Times New Roman"/>
          <w:i w:val="0"/>
          <w:iCs w:val="0"/>
          <w:sz w:val="20"/>
          <w:szCs w:val="20"/>
          <w:lang w:val="en-US" w:eastAsia="zh-CN"/>
        </w:rPr>
        <w:t>a large BS-BS separation distance of more than 600 m is needed for UMa path loss model to maintain the blocking requirement. However, there is 5-8 dB margin of blocking requirement in product implementation. If 8 dB margin is considered, the separation distance is less than 500 m.</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default"/>
          <w:lang w:val="en-US" w:eastAsia="zh-CN"/>
        </w:rPr>
      </w:pPr>
      <w:r>
        <w:rPr>
          <w:rFonts w:hint="default"/>
          <w:lang w:val="en-US" w:eastAsia="zh-CN"/>
        </w:rPr>
        <w:drawing>
          <wp:inline distT="0" distB="0" distL="114300" distR="114300">
            <wp:extent cx="3614420" cy="2710815"/>
            <wp:effectExtent l="0" t="0" r="1270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pic:blipFill>
                  <pic:spPr>
                    <a:xfrm>
                      <a:off x="0" y="0"/>
                      <a:ext cx="3614420" cy="2710815"/>
                    </a:xfrm>
                    <a:prstGeom prst="rect">
                      <a:avLst/>
                    </a:prstGeom>
                  </pic:spPr>
                </pic:pic>
              </a:graphicData>
            </a:graphic>
          </wp:inline>
        </w:drawing>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jc w:val="center"/>
        <w:textAlignment w:val="baseline"/>
        <w:rPr>
          <w:rFonts w:hint="default"/>
          <w:sz w:val="20"/>
          <w:szCs w:val="20"/>
          <w:lang w:val="en-US" w:eastAsia="zh-CN"/>
        </w:rPr>
      </w:pPr>
      <w:r>
        <w:rPr>
          <w:rFonts w:hint="eastAsia"/>
          <w:sz w:val="20"/>
          <w:szCs w:val="20"/>
          <w:lang w:val="en-US" w:eastAsia="zh-CN"/>
        </w:rPr>
        <w:t>Figure 2: the received signal power in 1920-1930 MHz of band B1/n1</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Observation 1</w:t>
      </w:r>
      <w:bookmarkEnd w:id="2"/>
      <w:bookmarkStart w:id="5" w:name="OLE_LINK24"/>
      <w:bookmarkStart w:id="6" w:name="OLE_LINK28"/>
      <w:r>
        <w:rPr>
          <w:rFonts w:hint="eastAsia"/>
          <w:b/>
          <w:bCs/>
          <w:i/>
          <w:iCs/>
          <w:sz w:val="20"/>
          <w:szCs w:val="20"/>
          <w:lang w:val="en-US" w:eastAsia="zh-CN"/>
        </w:rPr>
        <w:t>: A large BS-BS separation distance of more than 600 m is needed for UMa path loss model to maintain the blocking requirement. If 8 dB margin is considered for blocking requirement, the separation distance is less than 500 m.</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s="Times New Roman"/>
          <w:i w:val="0"/>
          <w:iCs w:val="0"/>
          <w:sz w:val="20"/>
          <w:szCs w:val="20"/>
          <w:lang w:val="en-US" w:eastAsia="zh-CN"/>
        </w:rPr>
      </w:pPr>
      <w:r>
        <w:rPr>
          <w:rFonts w:hint="eastAsia" w:cs="Times New Roman"/>
          <w:i w:val="0"/>
          <w:iCs w:val="0"/>
          <w:sz w:val="20"/>
          <w:szCs w:val="20"/>
          <w:lang w:val="en-US" w:eastAsia="zh-CN"/>
        </w:rPr>
        <w:t>Actually, antenna gain can be decreased through changing the antenna orientation. So we can modify the antenna orientation to reduce the interference caused by band n101 downlink transmissions to uplink reception in 1920-1930 MHz of band B1/n1.</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Modify the antenna orientation to reduce the interference caused by band n101 downlink transmissions to uplink reception in 1920-1930 MHz of band B1/n1.</w:t>
      </w:r>
    </w:p>
    <w:bookmarkEnd w:id="3"/>
    <w:bookmarkEnd w:id="4"/>
    <w:bookmarkEnd w:id="5"/>
    <w:bookmarkEnd w:id="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the co-existence for existing mobile networks caused by band n101</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w:t>
      </w:r>
      <w:r>
        <w:rPr>
          <w:rFonts w:hint="eastAsia" w:ascii="Times New Roman" w:hAnsi="Times New Roman" w:eastAsia="宋体" w:cs="Times New Roman"/>
          <w:b w:val="0"/>
          <w:bCs w:val="0"/>
          <w:kern w:val="0"/>
          <w:sz w:val="20"/>
          <w:szCs w:val="20"/>
          <w:highlight w:val="none"/>
          <w:lang w:val="en-US" w:eastAsia="zh-CN" w:bidi="ar-SA"/>
        </w:rPr>
        <w:t>s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Observation 1: A large BS-BS separation distance of more than 600 m is needed for UMa path loss model to maintain the blocking requirement. If 8 dB margin is considered for blocking requirement, the separation distance is less than 500 m.</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Proposal 1: Modify the antenna orientation to reduce the interference caused by band n101 downlink transmissions to uplink reception in 1920-1930 MHz of band B1/n1.</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bookmarkStart w:id="7" w:name="_GoBack"/>
      <w:bookmarkEnd w:id="7"/>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 xml:space="preserve">RP-233879, </w:t>
      </w:r>
      <w:r>
        <w:rPr>
          <w:rFonts w:hint="default"/>
          <w:sz w:val="20"/>
          <w:szCs w:val="20"/>
          <w:lang w:val="en-US" w:eastAsia="zh-CN"/>
        </w:rPr>
        <w:t>“</w:t>
      </w:r>
      <w:r>
        <w:rPr>
          <w:rFonts w:hint="eastAsia"/>
          <w:sz w:val="20"/>
          <w:szCs w:val="20"/>
          <w:lang w:val="en-US" w:eastAsia="zh-CN"/>
        </w:rPr>
        <w:t>Harm to existing mobile networks caused by band n101</w:t>
      </w:r>
      <w:r>
        <w:rPr>
          <w:rFonts w:hint="default"/>
          <w:sz w:val="20"/>
          <w:szCs w:val="20"/>
          <w:lang w:val="en-US" w:eastAsia="zh-CN"/>
        </w:rPr>
        <w:t>”</w:t>
      </w:r>
      <w:r>
        <w:rPr>
          <w:rFonts w:hint="eastAsia"/>
          <w:sz w:val="20"/>
          <w:szCs w:val="20"/>
          <w:lang w:val="en-US" w:eastAsia="zh-CN"/>
        </w:rPr>
        <w:t>, Vodafone et al.</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eastAsia"/>
          <w:sz w:val="20"/>
          <w:szCs w:val="20"/>
          <w:lang w:val="en-US" w:eastAsia="zh-CN"/>
        </w:rPr>
        <w:t xml:space="preserve">RP-211542, </w:t>
      </w:r>
      <w:r>
        <w:rPr>
          <w:rFonts w:hint="default"/>
          <w:sz w:val="20"/>
          <w:szCs w:val="20"/>
          <w:lang w:val="en-US" w:eastAsia="zh-CN"/>
        </w:rPr>
        <w:t>“</w:t>
      </w:r>
      <w:r>
        <w:rPr>
          <w:rFonts w:hint="eastAsia"/>
          <w:sz w:val="20"/>
          <w:szCs w:val="20"/>
          <w:lang w:val="en-US" w:eastAsia="zh-CN"/>
        </w:rPr>
        <w:t>Revised WID on introduction of Rail Mobile Radio (RMR) 1900MHz spectrum</w:t>
      </w:r>
      <w:r>
        <w:rPr>
          <w:rFonts w:hint="default"/>
          <w:sz w:val="20"/>
          <w:szCs w:val="20"/>
          <w:lang w:val="en-US" w:eastAsia="zh-CN"/>
        </w:rPr>
        <w:t>”</w:t>
      </w:r>
      <w:r>
        <w:rPr>
          <w:rFonts w:hint="eastAsia"/>
          <w:sz w:val="20"/>
          <w:szCs w:val="20"/>
          <w:lang w:val="en-US" w:eastAsia="zh-CN"/>
        </w:rPr>
        <w:t>, Union Inter. Chemins de Fer</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D1D89FAA"/>
    <w:multiLevelType w:val="singleLevel"/>
    <w:tmpl w:val="D1D89FAA"/>
    <w:lvl w:ilvl="0" w:tentative="0">
      <w:start w:val="1"/>
      <w:numFmt w:val="bullet"/>
      <w:lvlText w:val="•"/>
      <w:lvlJc w:val="left"/>
      <w:pPr>
        <w:ind w:left="42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9D9D1BC"/>
    <w:multiLevelType w:val="singleLevel"/>
    <w:tmpl w:val="39D9D1BC"/>
    <w:lvl w:ilvl="0" w:tentative="0">
      <w:start w:val="1"/>
      <w:numFmt w:val="bullet"/>
      <w:lvlText w:val=""/>
      <w:lvlJc w:val="left"/>
      <w:pPr>
        <w:ind w:left="420" w:leftChars="0" w:hanging="420" w:firstLineChars="0"/>
      </w:pPr>
      <w:rPr>
        <w:rFonts w:hint="default" w:ascii="Wingdings" w:hAnsi="Wingding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6"/>
  </w:num>
  <w:num w:numId="6">
    <w:abstractNumId w:val="1"/>
  </w:num>
  <w:num w:numId="7">
    <w:abstractNumId w:val="0"/>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5D3EF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510B5E"/>
    <w:rsid w:val="02566C17"/>
    <w:rsid w:val="025C4BEF"/>
    <w:rsid w:val="026246A1"/>
    <w:rsid w:val="0262759F"/>
    <w:rsid w:val="02655431"/>
    <w:rsid w:val="027275A1"/>
    <w:rsid w:val="027371D9"/>
    <w:rsid w:val="0276366F"/>
    <w:rsid w:val="027F646E"/>
    <w:rsid w:val="027F64CF"/>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4B2F7A"/>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1B4FFA"/>
    <w:rsid w:val="092173F4"/>
    <w:rsid w:val="09262DE9"/>
    <w:rsid w:val="092F7300"/>
    <w:rsid w:val="09306537"/>
    <w:rsid w:val="09355076"/>
    <w:rsid w:val="09392119"/>
    <w:rsid w:val="09445E95"/>
    <w:rsid w:val="09543B3B"/>
    <w:rsid w:val="09600FBD"/>
    <w:rsid w:val="0972595C"/>
    <w:rsid w:val="098143BC"/>
    <w:rsid w:val="098500F1"/>
    <w:rsid w:val="0992510E"/>
    <w:rsid w:val="09B33AE4"/>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7C0E60"/>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DE2885"/>
    <w:rsid w:val="0DEF012A"/>
    <w:rsid w:val="0DF202E1"/>
    <w:rsid w:val="0DF53CE3"/>
    <w:rsid w:val="0E0961C5"/>
    <w:rsid w:val="0E147898"/>
    <w:rsid w:val="0E264DDB"/>
    <w:rsid w:val="0E2F216B"/>
    <w:rsid w:val="0E3352C6"/>
    <w:rsid w:val="0E3A5EE2"/>
    <w:rsid w:val="0E542F3B"/>
    <w:rsid w:val="0E5757F7"/>
    <w:rsid w:val="0E591BF0"/>
    <w:rsid w:val="0E6271DF"/>
    <w:rsid w:val="0E78367D"/>
    <w:rsid w:val="0E81568A"/>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65D5C"/>
    <w:rsid w:val="0FAA75F1"/>
    <w:rsid w:val="0FAD33DA"/>
    <w:rsid w:val="0FAD71D4"/>
    <w:rsid w:val="0FBE2A42"/>
    <w:rsid w:val="0FC17CCE"/>
    <w:rsid w:val="0FC424B9"/>
    <w:rsid w:val="0FCC3C6A"/>
    <w:rsid w:val="0FD576BA"/>
    <w:rsid w:val="0FD70565"/>
    <w:rsid w:val="0FE928D1"/>
    <w:rsid w:val="0FEC680C"/>
    <w:rsid w:val="0FFF0BF3"/>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255A6"/>
    <w:rsid w:val="10E746EA"/>
    <w:rsid w:val="10E83FE0"/>
    <w:rsid w:val="10EC3168"/>
    <w:rsid w:val="10F52718"/>
    <w:rsid w:val="11124F2E"/>
    <w:rsid w:val="11125358"/>
    <w:rsid w:val="111F38A5"/>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602D5"/>
    <w:rsid w:val="14C45576"/>
    <w:rsid w:val="14C76D6C"/>
    <w:rsid w:val="14CE33C4"/>
    <w:rsid w:val="14D60E60"/>
    <w:rsid w:val="14DA3DA1"/>
    <w:rsid w:val="14E60B42"/>
    <w:rsid w:val="14EA1C4D"/>
    <w:rsid w:val="14EF0267"/>
    <w:rsid w:val="14FB736A"/>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3A6AD4"/>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5D7538"/>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0454C"/>
    <w:rsid w:val="1829280B"/>
    <w:rsid w:val="18334194"/>
    <w:rsid w:val="183E1D37"/>
    <w:rsid w:val="1840126B"/>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A80D43"/>
    <w:rsid w:val="1EBD1EAD"/>
    <w:rsid w:val="1EC36E9D"/>
    <w:rsid w:val="1EE25FDD"/>
    <w:rsid w:val="1EEF7878"/>
    <w:rsid w:val="1EF5103F"/>
    <w:rsid w:val="1EFF621F"/>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4B61"/>
    <w:rsid w:val="257632D6"/>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A6617"/>
    <w:rsid w:val="33540E5D"/>
    <w:rsid w:val="335A0521"/>
    <w:rsid w:val="335D7182"/>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D825FA"/>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4E20F8"/>
    <w:rsid w:val="385056AF"/>
    <w:rsid w:val="386A7142"/>
    <w:rsid w:val="386E0B2C"/>
    <w:rsid w:val="38706DCB"/>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CB43BE"/>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A3E19"/>
    <w:rsid w:val="3DED0F96"/>
    <w:rsid w:val="3DF130D5"/>
    <w:rsid w:val="3DF95812"/>
    <w:rsid w:val="3E0040D9"/>
    <w:rsid w:val="3E1328D6"/>
    <w:rsid w:val="3E1B7668"/>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163F1"/>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AA4A84"/>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24AD7"/>
    <w:rsid w:val="4346543A"/>
    <w:rsid w:val="43533E29"/>
    <w:rsid w:val="43561E16"/>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0428AF"/>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1216BD"/>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0010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AB774E"/>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A1A7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60400"/>
    <w:rsid w:val="5987482A"/>
    <w:rsid w:val="598A58C2"/>
    <w:rsid w:val="598C6F19"/>
    <w:rsid w:val="599C49A8"/>
    <w:rsid w:val="59A252D5"/>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7333E"/>
    <w:rsid w:val="5AD86A6D"/>
    <w:rsid w:val="5AE8708E"/>
    <w:rsid w:val="5AEC14F6"/>
    <w:rsid w:val="5AF124A4"/>
    <w:rsid w:val="5B141085"/>
    <w:rsid w:val="5B28192B"/>
    <w:rsid w:val="5B342BAD"/>
    <w:rsid w:val="5B392581"/>
    <w:rsid w:val="5B4007EF"/>
    <w:rsid w:val="5B4D1F7C"/>
    <w:rsid w:val="5B51561D"/>
    <w:rsid w:val="5B570E24"/>
    <w:rsid w:val="5B607711"/>
    <w:rsid w:val="5B66707B"/>
    <w:rsid w:val="5B673066"/>
    <w:rsid w:val="5B6A48A8"/>
    <w:rsid w:val="5B731FA9"/>
    <w:rsid w:val="5B785E83"/>
    <w:rsid w:val="5B7C1CD1"/>
    <w:rsid w:val="5B9004A9"/>
    <w:rsid w:val="5B907C6C"/>
    <w:rsid w:val="5B9251EF"/>
    <w:rsid w:val="5BAB5BC4"/>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3370DF"/>
    <w:rsid w:val="5F683B6E"/>
    <w:rsid w:val="5F684490"/>
    <w:rsid w:val="5F6D06D6"/>
    <w:rsid w:val="5F6E768C"/>
    <w:rsid w:val="5F875C0C"/>
    <w:rsid w:val="5F8A0701"/>
    <w:rsid w:val="5F8F0B9E"/>
    <w:rsid w:val="5F8F267A"/>
    <w:rsid w:val="5F941274"/>
    <w:rsid w:val="5FAB7F08"/>
    <w:rsid w:val="5FB7185B"/>
    <w:rsid w:val="5FB94C48"/>
    <w:rsid w:val="5FDE327E"/>
    <w:rsid w:val="5FEB4E90"/>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E774B3"/>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4318B2"/>
    <w:rsid w:val="674D4B22"/>
    <w:rsid w:val="67570422"/>
    <w:rsid w:val="675D31B4"/>
    <w:rsid w:val="67611575"/>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20BCF"/>
    <w:rsid w:val="6A7B4B9C"/>
    <w:rsid w:val="6AAF014C"/>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295363"/>
    <w:rsid w:val="6E317378"/>
    <w:rsid w:val="6E3A4724"/>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7C40AC"/>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E4685D"/>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20F6D"/>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4963F2"/>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9FF7B91"/>
    <w:rsid w:val="7A36322F"/>
    <w:rsid w:val="7A431242"/>
    <w:rsid w:val="7A444657"/>
    <w:rsid w:val="7A4C2D60"/>
    <w:rsid w:val="7A5E0869"/>
    <w:rsid w:val="7A6E4BF5"/>
    <w:rsid w:val="7A7F4A1E"/>
    <w:rsid w:val="7A8246BA"/>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786809"/>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E4349"/>
    <w:rsid w:val="7C77043F"/>
    <w:rsid w:val="7C8A7CDC"/>
    <w:rsid w:val="7C9E5A24"/>
    <w:rsid w:val="7CA745A1"/>
    <w:rsid w:val="7CAF4DCB"/>
    <w:rsid w:val="7CB4006B"/>
    <w:rsid w:val="7CB93ABB"/>
    <w:rsid w:val="7CC475DB"/>
    <w:rsid w:val="7CD36BD6"/>
    <w:rsid w:val="7CDE3831"/>
    <w:rsid w:val="7CE656F0"/>
    <w:rsid w:val="7CED34FF"/>
    <w:rsid w:val="7CEE5458"/>
    <w:rsid w:val="7CF26588"/>
    <w:rsid w:val="7CF565D7"/>
    <w:rsid w:val="7CF867A7"/>
    <w:rsid w:val="7CFA3A46"/>
    <w:rsid w:val="7CFC78A1"/>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097A5B"/>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2024-02-19T13:47:08Z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13BFEA876C9340E6956A2DAF3D02A14B</vt:lpwstr>
  </property>
</Properties>
</file>